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FA571E">
        <w:rPr>
          <w:rFonts w:ascii="Palatino Linotype" w:hAnsi="Palatino Linotype" w:cs="Arial"/>
          <w:b/>
          <w:bCs/>
          <w:sz w:val="23"/>
          <w:szCs w:val="23"/>
        </w:rPr>
        <w:t>4590</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8461BC" w:rsidRPr="008461BC" w:rsidRDefault="00E6179D">
          <w:pPr>
            <w:pStyle w:val="TDC1"/>
            <w:rPr>
              <w:rFonts w:asciiTheme="minorHAnsi" w:eastAsiaTheme="minorEastAsia" w:hAnsiTheme="minorHAnsi"/>
              <w:b w:val="0"/>
              <w:sz w:val="24"/>
              <w:szCs w:val="24"/>
              <w:lang w:eastAsia="es-MX"/>
            </w:rPr>
          </w:pPr>
          <w:r w:rsidRPr="00017704">
            <w:rPr>
              <w:sz w:val="24"/>
              <w:szCs w:val="24"/>
            </w:rPr>
            <w:fldChar w:fldCharType="begin"/>
          </w:r>
          <w:r w:rsidRPr="00017704">
            <w:rPr>
              <w:sz w:val="24"/>
              <w:szCs w:val="24"/>
            </w:rPr>
            <w:instrText xml:space="preserve"> TOC \o "1-3" \h \z \u </w:instrText>
          </w:r>
          <w:r w:rsidRPr="00017704">
            <w:rPr>
              <w:sz w:val="24"/>
              <w:szCs w:val="24"/>
            </w:rPr>
            <w:fldChar w:fldCharType="separate"/>
          </w:r>
          <w:hyperlink w:anchor="_Toc2634148" w:history="1">
            <w:r w:rsidR="008461BC" w:rsidRPr="008461BC">
              <w:rPr>
                <w:rStyle w:val="Hipervnculo"/>
                <w:rFonts w:eastAsia="Times New Roman"/>
                <w:sz w:val="24"/>
                <w:szCs w:val="24"/>
              </w:rPr>
              <w:t>I.</w:t>
            </w:r>
            <w:r w:rsidR="008461BC" w:rsidRPr="008461BC">
              <w:rPr>
                <w:rFonts w:asciiTheme="minorHAnsi" w:eastAsiaTheme="minorEastAsia" w:hAnsiTheme="minorHAnsi"/>
                <w:b w:val="0"/>
                <w:sz w:val="24"/>
                <w:szCs w:val="24"/>
                <w:lang w:eastAsia="es-MX"/>
              </w:rPr>
              <w:tab/>
            </w:r>
            <w:r w:rsidR="008461BC" w:rsidRPr="008461BC">
              <w:rPr>
                <w:rStyle w:val="Hipervnculo"/>
                <w:rFonts w:eastAsia="Times New Roman"/>
                <w:sz w:val="24"/>
                <w:szCs w:val="24"/>
              </w:rPr>
              <w:t>Consideraciones Generales</w:t>
            </w:r>
            <w:r w:rsidR="008461BC" w:rsidRPr="008461BC">
              <w:rPr>
                <w:webHidden/>
                <w:sz w:val="24"/>
                <w:szCs w:val="24"/>
              </w:rPr>
              <w:tab/>
            </w:r>
            <w:r w:rsidR="008461BC" w:rsidRPr="008461BC">
              <w:rPr>
                <w:webHidden/>
                <w:sz w:val="24"/>
                <w:szCs w:val="24"/>
              </w:rPr>
              <w:fldChar w:fldCharType="begin"/>
            </w:r>
            <w:r w:rsidR="008461BC" w:rsidRPr="008461BC">
              <w:rPr>
                <w:webHidden/>
                <w:sz w:val="24"/>
                <w:szCs w:val="24"/>
              </w:rPr>
              <w:instrText xml:space="preserve"> PAGEREF _Toc2634148 \h </w:instrText>
            </w:r>
            <w:r w:rsidR="008461BC" w:rsidRPr="008461BC">
              <w:rPr>
                <w:webHidden/>
                <w:sz w:val="24"/>
                <w:szCs w:val="24"/>
              </w:rPr>
            </w:r>
            <w:r w:rsidR="008461BC" w:rsidRPr="008461BC">
              <w:rPr>
                <w:webHidden/>
                <w:sz w:val="24"/>
                <w:szCs w:val="24"/>
              </w:rPr>
              <w:fldChar w:fldCharType="separate"/>
            </w:r>
            <w:r w:rsidR="00E504F7">
              <w:rPr>
                <w:webHidden/>
                <w:sz w:val="24"/>
                <w:szCs w:val="24"/>
              </w:rPr>
              <w:t>1</w:t>
            </w:r>
            <w:r w:rsidR="008461BC" w:rsidRPr="008461BC">
              <w:rPr>
                <w:webHidden/>
                <w:sz w:val="24"/>
                <w:szCs w:val="24"/>
              </w:rPr>
              <w:fldChar w:fldCharType="end"/>
            </w:r>
          </w:hyperlink>
        </w:p>
        <w:p w:rsidR="008461BC" w:rsidRPr="008461BC" w:rsidRDefault="00AE620B">
          <w:pPr>
            <w:pStyle w:val="TDC1"/>
            <w:rPr>
              <w:rFonts w:asciiTheme="minorHAnsi" w:eastAsiaTheme="minorEastAsia" w:hAnsiTheme="minorHAnsi"/>
              <w:b w:val="0"/>
              <w:sz w:val="24"/>
              <w:szCs w:val="24"/>
              <w:lang w:eastAsia="es-MX"/>
            </w:rPr>
          </w:pPr>
          <w:hyperlink w:anchor="_Toc2634149" w:history="1">
            <w:r w:rsidR="008461BC" w:rsidRPr="008461BC">
              <w:rPr>
                <w:rStyle w:val="Hipervnculo"/>
                <w:rFonts w:eastAsia="Calibri"/>
                <w:sz w:val="24"/>
                <w:szCs w:val="24"/>
                <w:lang w:val="es-ES"/>
              </w:rPr>
              <w:t>II.</w:t>
            </w:r>
            <w:r w:rsidR="008461BC" w:rsidRPr="008461BC">
              <w:rPr>
                <w:rFonts w:asciiTheme="minorHAnsi" w:eastAsiaTheme="minorEastAsia" w:hAnsiTheme="minorHAnsi"/>
                <w:b w:val="0"/>
                <w:sz w:val="24"/>
                <w:szCs w:val="24"/>
                <w:lang w:eastAsia="es-MX"/>
              </w:rPr>
              <w:tab/>
            </w:r>
            <w:r w:rsidR="008461BC" w:rsidRPr="008461BC">
              <w:rPr>
                <w:rStyle w:val="Hipervnculo"/>
                <w:rFonts w:eastAsia="Calibri"/>
                <w:sz w:val="24"/>
                <w:szCs w:val="24"/>
                <w:lang w:val="es-ES"/>
              </w:rPr>
              <w:t>De los requerimientos planteados en el recurso de revisión.</w:t>
            </w:r>
            <w:r w:rsidR="008461BC" w:rsidRPr="008461BC">
              <w:rPr>
                <w:webHidden/>
                <w:sz w:val="24"/>
                <w:szCs w:val="24"/>
              </w:rPr>
              <w:tab/>
            </w:r>
            <w:r w:rsidR="008461BC" w:rsidRPr="008461BC">
              <w:rPr>
                <w:webHidden/>
                <w:sz w:val="24"/>
                <w:szCs w:val="24"/>
              </w:rPr>
              <w:fldChar w:fldCharType="begin"/>
            </w:r>
            <w:r w:rsidR="008461BC" w:rsidRPr="008461BC">
              <w:rPr>
                <w:webHidden/>
                <w:sz w:val="24"/>
                <w:szCs w:val="24"/>
              </w:rPr>
              <w:instrText xml:space="preserve"> PAGEREF _Toc2634149 \h </w:instrText>
            </w:r>
            <w:r w:rsidR="008461BC" w:rsidRPr="008461BC">
              <w:rPr>
                <w:webHidden/>
                <w:sz w:val="24"/>
                <w:szCs w:val="24"/>
              </w:rPr>
            </w:r>
            <w:r w:rsidR="008461BC" w:rsidRPr="008461BC">
              <w:rPr>
                <w:webHidden/>
                <w:sz w:val="24"/>
                <w:szCs w:val="24"/>
              </w:rPr>
              <w:fldChar w:fldCharType="separate"/>
            </w:r>
            <w:r w:rsidR="00E504F7">
              <w:rPr>
                <w:webHidden/>
                <w:sz w:val="24"/>
                <w:szCs w:val="24"/>
              </w:rPr>
              <w:t>2</w:t>
            </w:r>
            <w:r w:rsidR="008461BC" w:rsidRPr="008461BC">
              <w:rPr>
                <w:webHidden/>
                <w:sz w:val="24"/>
                <w:szCs w:val="24"/>
              </w:rPr>
              <w:fldChar w:fldCharType="end"/>
            </w:r>
          </w:hyperlink>
        </w:p>
        <w:p w:rsidR="008461BC" w:rsidRPr="008461BC" w:rsidRDefault="00AE620B">
          <w:pPr>
            <w:pStyle w:val="TDC2"/>
            <w:rPr>
              <w:rFonts w:asciiTheme="minorHAnsi" w:eastAsiaTheme="minorEastAsia" w:hAnsiTheme="minorHAnsi"/>
              <w:b w:val="0"/>
              <w:lang w:eastAsia="es-MX"/>
            </w:rPr>
          </w:pPr>
          <w:hyperlink w:anchor="_Toc2634150" w:history="1">
            <w:r w:rsidR="008461BC" w:rsidRPr="008461BC">
              <w:rPr>
                <w:rStyle w:val="Hipervnculo"/>
              </w:rPr>
              <w:t>III. Del Derecho de Acceso a la información pública y el deber de motivar.</w:t>
            </w:r>
            <w:r w:rsidR="008461BC" w:rsidRPr="008461BC">
              <w:rPr>
                <w:webHidden/>
              </w:rPr>
              <w:tab/>
            </w:r>
            <w:r w:rsidR="008461BC" w:rsidRPr="008461BC">
              <w:rPr>
                <w:webHidden/>
              </w:rPr>
              <w:fldChar w:fldCharType="begin"/>
            </w:r>
            <w:r w:rsidR="008461BC" w:rsidRPr="008461BC">
              <w:rPr>
                <w:webHidden/>
              </w:rPr>
              <w:instrText xml:space="preserve"> PAGEREF _Toc2634150 \h </w:instrText>
            </w:r>
            <w:r w:rsidR="008461BC" w:rsidRPr="008461BC">
              <w:rPr>
                <w:webHidden/>
              </w:rPr>
            </w:r>
            <w:r w:rsidR="008461BC" w:rsidRPr="008461BC">
              <w:rPr>
                <w:webHidden/>
              </w:rPr>
              <w:fldChar w:fldCharType="separate"/>
            </w:r>
            <w:r w:rsidR="00E504F7">
              <w:rPr>
                <w:webHidden/>
              </w:rPr>
              <w:t>5</w:t>
            </w:r>
            <w:r w:rsidR="008461BC" w:rsidRPr="008461BC">
              <w:rPr>
                <w:webHidden/>
              </w:rPr>
              <w:fldChar w:fldCharType="end"/>
            </w:r>
          </w:hyperlink>
        </w:p>
        <w:p w:rsidR="008461BC" w:rsidRPr="008461BC" w:rsidRDefault="00AE620B">
          <w:pPr>
            <w:pStyle w:val="TDC1"/>
            <w:rPr>
              <w:rFonts w:asciiTheme="minorHAnsi" w:eastAsiaTheme="minorEastAsia" w:hAnsiTheme="minorHAnsi"/>
              <w:b w:val="0"/>
              <w:sz w:val="24"/>
              <w:szCs w:val="24"/>
              <w:lang w:eastAsia="es-MX"/>
            </w:rPr>
          </w:pPr>
          <w:hyperlink w:anchor="_Toc2634151" w:history="1">
            <w:r w:rsidR="008461BC" w:rsidRPr="008461BC">
              <w:rPr>
                <w:rStyle w:val="Hipervnculo"/>
                <w:rFonts w:eastAsia="Calibri"/>
                <w:sz w:val="24"/>
                <w:szCs w:val="24"/>
              </w:rPr>
              <w:t>IV. Del Pronunciamiento simple</w:t>
            </w:r>
            <w:r w:rsidR="008461BC" w:rsidRPr="008461BC">
              <w:rPr>
                <w:webHidden/>
                <w:sz w:val="24"/>
                <w:szCs w:val="24"/>
              </w:rPr>
              <w:tab/>
            </w:r>
            <w:r w:rsidR="008461BC" w:rsidRPr="008461BC">
              <w:rPr>
                <w:webHidden/>
                <w:sz w:val="24"/>
                <w:szCs w:val="24"/>
              </w:rPr>
              <w:fldChar w:fldCharType="begin"/>
            </w:r>
            <w:r w:rsidR="008461BC" w:rsidRPr="008461BC">
              <w:rPr>
                <w:webHidden/>
                <w:sz w:val="24"/>
                <w:szCs w:val="24"/>
              </w:rPr>
              <w:instrText xml:space="preserve"> PAGEREF _Toc2634151 \h </w:instrText>
            </w:r>
            <w:r w:rsidR="008461BC" w:rsidRPr="008461BC">
              <w:rPr>
                <w:webHidden/>
                <w:sz w:val="24"/>
                <w:szCs w:val="24"/>
              </w:rPr>
            </w:r>
            <w:r w:rsidR="008461BC" w:rsidRPr="008461BC">
              <w:rPr>
                <w:webHidden/>
                <w:sz w:val="24"/>
                <w:szCs w:val="24"/>
              </w:rPr>
              <w:fldChar w:fldCharType="separate"/>
            </w:r>
            <w:r w:rsidR="00E504F7">
              <w:rPr>
                <w:webHidden/>
                <w:sz w:val="24"/>
                <w:szCs w:val="24"/>
              </w:rPr>
              <w:t>10</w:t>
            </w:r>
            <w:r w:rsidR="008461BC" w:rsidRPr="008461BC">
              <w:rPr>
                <w:webHidden/>
                <w:sz w:val="24"/>
                <w:szCs w:val="24"/>
              </w:rPr>
              <w:fldChar w:fldCharType="end"/>
            </w:r>
          </w:hyperlink>
        </w:p>
        <w:p w:rsidR="008461BC" w:rsidRDefault="00AE620B">
          <w:pPr>
            <w:pStyle w:val="TDC1"/>
            <w:rPr>
              <w:rFonts w:asciiTheme="minorHAnsi" w:eastAsiaTheme="minorEastAsia" w:hAnsiTheme="minorHAnsi"/>
              <w:b w:val="0"/>
              <w:sz w:val="22"/>
              <w:szCs w:val="22"/>
              <w:lang w:eastAsia="es-MX"/>
            </w:rPr>
          </w:pPr>
          <w:hyperlink w:anchor="_Toc2634152" w:history="1">
            <w:r w:rsidR="008461BC" w:rsidRPr="008461BC">
              <w:rPr>
                <w:rStyle w:val="Hipervnculo"/>
                <w:rFonts w:eastAsia="Calibri"/>
                <w:sz w:val="24"/>
                <w:szCs w:val="24"/>
              </w:rPr>
              <w:t>V. Conclusión.</w:t>
            </w:r>
            <w:r w:rsidR="008461BC" w:rsidRPr="008461BC">
              <w:rPr>
                <w:webHidden/>
                <w:sz w:val="24"/>
                <w:szCs w:val="24"/>
              </w:rPr>
              <w:tab/>
            </w:r>
            <w:r w:rsidR="008461BC" w:rsidRPr="008461BC">
              <w:rPr>
                <w:webHidden/>
                <w:sz w:val="24"/>
                <w:szCs w:val="24"/>
              </w:rPr>
              <w:fldChar w:fldCharType="begin"/>
            </w:r>
            <w:r w:rsidR="008461BC" w:rsidRPr="008461BC">
              <w:rPr>
                <w:webHidden/>
                <w:sz w:val="24"/>
                <w:szCs w:val="24"/>
              </w:rPr>
              <w:instrText xml:space="preserve"> PAGEREF _Toc2634152 \h </w:instrText>
            </w:r>
            <w:r w:rsidR="008461BC" w:rsidRPr="008461BC">
              <w:rPr>
                <w:webHidden/>
                <w:sz w:val="24"/>
                <w:szCs w:val="24"/>
              </w:rPr>
            </w:r>
            <w:r w:rsidR="008461BC" w:rsidRPr="008461BC">
              <w:rPr>
                <w:webHidden/>
                <w:sz w:val="24"/>
                <w:szCs w:val="24"/>
              </w:rPr>
              <w:fldChar w:fldCharType="separate"/>
            </w:r>
            <w:r w:rsidR="00E504F7">
              <w:rPr>
                <w:webHidden/>
                <w:sz w:val="24"/>
                <w:szCs w:val="24"/>
              </w:rPr>
              <w:t>28</w:t>
            </w:r>
            <w:r w:rsidR="008461BC" w:rsidRPr="008461BC">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017704">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2634148"/>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A571E">
        <w:rPr>
          <w:rFonts w:ascii="Palatino Linotype" w:eastAsia="Calibri" w:hAnsi="Palatino Linotype" w:cs="Arial"/>
          <w:sz w:val="24"/>
          <w:szCs w:val="24"/>
        </w:rPr>
        <w:t>Octava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A571E">
        <w:rPr>
          <w:rFonts w:ascii="Palatino Linotype" w:eastAsia="Calibri" w:hAnsi="Palatino Linotype" w:cs="Arial"/>
          <w:sz w:val="24"/>
          <w:szCs w:val="24"/>
        </w:rPr>
        <w:t>veintisiete</w:t>
      </w:r>
      <w:r w:rsidRPr="009F02EB">
        <w:rPr>
          <w:rFonts w:ascii="Palatino Linotype" w:eastAsia="Calibri" w:hAnsi="Palatino Linotype" w:cs="Arial"/>
          <w:sz w:val="24"/>
          <w:szCs w:val="24"/>
        </w:rPr>
        <w:t xml:space="preserve"> (</w:t>
      </w:r>
      <w:r w:rsidR="00FA571E">
        <w:rPr>
          <w:rFonts w:ascii="Palatino Linotype" w:eastAsia="Calibri" w:hAnsi="Palatino Linotype" w:cs="Arial"/>
          <w:sz w:val="24"/>
          <w:szCs w:val="24"/>
        </w:rPr>
        <w:t>27</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FA571E">
        <w:rPr>
          <w:rFonts w:ascii="Palatino Linotype" w:eastAsia="Calibri" w:hAnsi="Palatino Linotype" w:cs="Arial"/>
          <w:sz w:val="24"/>
          <w:szCs w:val="24"/>
        </w:rPr>
        <w:t xml:space="preserve"> la</w:t>
      </w:r>
      <w:r w:rsidR="00FA571E" w:rsidRPr="00FA571E">
        <w:rPr>
          <w:rFonts w:ascii="Palatino Linotype" w:hAnsi="Palatino Linotype" w:cs="Arial"/>
          <w:b/>
          <w:sz w:val="24"/>
          <w:szCs w:val="24"/>
        </w:rPr>
        <w:t xml:space="preserve"> </w:t>
      </w:r>
      <w:r w:rsidR="00FA571E" w:rsidRPr="005365E8">
        <w:rPr>
          <w:rFonts w:ascii="Palatino Linotype" w:hAnsi="Palatino Linotype" w:cs="Arial"/>
          <w:b/>
          <w:sz w:val="24"/>
          <w:szCs w:val="24"/>
        </w:rPr>
        <w:t>Secretaría del Medio Ambiente</w:t>
      </w:r>
      <w:r w:rsidR="000D647C" w:rsidRPr="00720807">
        <w:rPr>
          <w:rFonts w:ascii="Palatino Linotype" w:hAnsi="Palatino Linotype" w:cs="Arial"/>
          <w:b/>
          <w:sz w:val="24"/>
          <w:szCs w:val="24"/>
        </w:rPr>
        <w:t>,</w:t>
      </w:r>
      <w:r w:rsidR="00FB227F" w:rsidRPr="00FB227F">
        <w:rPr>
          <w:rFonts w:ascii="Palatino Linotype" w:hAnsi="Palatino Linotype" w:cs="Arial"/>
          <w:b/>
          <w:sz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FA571E">
        <w:rPr>
          <w:rFonts w:ascii="Palatino Linotype" w:hAnsi="Palatino Linotype" w:cs="Arial"/>
          <w:b/>
          <w:bCs/>
          <w:sz w:val="24"/>
          <w:szCs w:val="24"/>
        </w:rPr>
        <w:t>59</w:t>
      </w:r>
      <w:r w:rsidR="00860A8A">
        <w:rPr>
          <w:rFonts w:ascii="Palatino Linotype" w:hAnsi="Palatino Linotype" w:cs="Arial"/>
          <w:b/>
          <w:bCs/>
          <w:sz w:val="24"/>
          <w:szCs w:val="24"/>
        </w:rPr>
        <w:t>0</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FA571E">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2634149"/>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FA571E">
        <w:rPr>
          <w:rFonts w:ascii="Palatino Linotype" w:eastAsia="Calibri" w:hAnsi="Palatino Linotype" w:cs="Times New Roman"/>
          <w:sz w:val="24"/>
          <w:szCs w:val="24"/>
        </w:rPr>
        <w:t xml:space="preserve"> la</w:t>
      </w:r>
      <w:r w:rsidR="00FA571E" w:rsidRPr="00FA571E">
        <w:rPr>
          <w:rFonts w:ascii="Palatino Linotype" w:hAnsi="Palatino Linotype" w:cs="Arial"/>
          <w:b/>
          <w:sz w:val="24"/>
          <w:szCs w:val="24"/>
        </w:rPr>
        <w:t xml:space="preserve"> </w:t>
      </w:r>
      <w:r w:rsidR="00FA571E" w:rsidRPr="005365E8">
        <w:rPr>
          <w:rFonts w:ascii="Palatino Linotype" w:hAnsi="Palatino Linotype" w:cs="Arial"/>
          <w:b/>
          <w:sz w:val="24"/>
          <w:szCs w:val="24"/>
        </w:rPr>
        <w:t>Secretaría del Medio Ambiente</w:t>
      </w:r>
      <w:r w:rsidR="00FB227F" w:rsidRPr="009F02EB">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FA571E" w:rsidRPr="006B26E3" w:rsidRDefault="00FA571E" w:rsidP="00FA571E">
      <w:pPr>
        <w:ind w:left="851" w:right="708"/>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Pr="00315BE1">
        <w:rPr>
          <w:rFonts w:ascii="Palatino Linotype" w:eastAsia="Times New Roman" w:hAnsi="Palatino Linotype" w:cs="Times New Roman"/>
          <w:i/>
          <w:sz w:val="24"/>
          <w:szCs w:val="24"/>
          <w:lang w:val="es-ES_tradnl" w:eastAsia="es-ES"/>
        </w:rPr>
        <w:t>Información de si esa Secretaría ha elaborado, emitido y/o publicado los estudios justificativos a los que hace referencia el punto SEGUNDO del Acuerdo del ejecutivo del estado por el que se abroga el diverso para el Manejo, Conservación y Aprovechamiento de las Cimas de Montañas Lomeríos y Cerros del Estado de México, declarados como áreas naturales protegidas publicado en la Gaceta del Gobierno del Estado de México en fecha 27 de agosto de 2009, particularmente los estudios de las siguientes zonas: Zona: Cerro el Ídolo, Cerro Piedra Herrada (21). Zona: Cerro Gordo, Cerro Sacamecate (23). Zona: Pinal del Marquezado (24). Zona: Ixtapa del oro (25). En caso de ser afirmativa la respuesta de esa Secretaría se solicita la fecha de emisión y, en su caso, copia de los estudios respectivos.</w:t>
      </w:r>
      <w:r w:rsidRPr="006B26E3">
        <w:rPr>
          <w:rFonts w:ascii="Palatino Linotype" w:eastAsia="Times New Roman" w:hAnsi="Palatino Linotype" w:cs="Times New Roman"/>
          <w:i/>
          <w:sz w:val="24"/>
          <w:szCs w:val="24"/>
          <w:lang w:val="es-ES_tradnl" w:eastAsia="es-ES"/>
        </w:rPr>
        <w:t>”</w:t>
      </w:r>
      <w:r w:rsidRPr="006B26E3">
        <w:rPr>
          <w:rFonts w:ascii="Palatino Linotype" w:eastAsia="Times New Roman" w:hAnsi="Palatino Linotype" w:cs="Times New Roman"/>
          <w:sz w:val="24"/>
          <w:szCs w:val="24"/>
          <w:lang w:val="es-ES_tradnl" w:eastAsia="es-ES"/>
        </w:rPr>
        <w:t xml:space="preserve"> [Sic]</w:t>
      </w:r>
    </w:p>
    <w:p w:rsidR="00F333C8" w:rsidRPr="00860A8A" w:rsidRDefault="00F333C8" w:rsidP="00F333C8">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FA571E">
        <w:rPr>
          <w:rFonts w:ascii="Palatino Linotype" w:eastAsia="Calibri" w:hAnsi="Palatino Linotype" w:cs="Arial"/>
          <w:sz w:val="24"/>
          <w:szCs w:val="24"/>
        </w:rPr>
        <w:t xml:space="preserve"> </w:t>
      </w:r>
      <w:r w:rsidR="00860A8A">
        <w:rPr>
          <w:rFonts w:ascii="Palatino Linotype" w:eastAsia="Calibri" w:hAnsi="Palatino Linotype" w:cs="Arial"/>
          <w:sz w:val="24"/>
          <w:szCs w:val="24"/>
        </w:rPr>
        <w:t>l</w:t>
      </w:r>
      <w:r w:rsidR="00FA571E">
        <w:rPr>
          <w:rFonts w:ascii="Palatino Linotype" w:eastAsia="Calibri" w:hAnsi="Palatino Linotype" w:cs="Arial"/>
          <w:sz w:val="24"/>
          <w:szCs w:val="24"/>
        </w:rPr>
        <w:t>a</w:t>
      </w:r>
      <w:r w:rsidR="00FA571E" w:rsidRPr="00FA571E">
        <w:rPr>
          <w:rFonts w:ascii="Palatino Linotype" w:hAnsi="Palatino Linotype" w:cs="Arial"/>
          <w:b/>
          <w:sz w:val="24"/>
          <w:szCs w:val="24"/>
        </w:rPr>
        <w:t xml:space="preserve"> </w:t>
      </w:r>
      <w:r w:rsidR="00FA571E" w:rsidRPr="005365E8">
        <w:rPr>
          <w:rFonts w:ascii="Palatino Linotype" w:hAnsi="Palatino Linotype" w:cs="Arial"/>
          <w:b/>
          <w:sz w:val="24"/>
          <w:szCs w:val="24"/>
        </w:rPr>
        <w:t>Secretaría del Medio Ambiente</w:t>
      </w:r>
      <w:r w:rsidR="00FA571E">
        <w:rPr>
          <w:rFonts w:ascii="Palatino Linotype" w:hAnsi="Palatino Linotype" w:cs="Arial"/>
          <w:b/>
          <w:sz w:val="24"/>
          <w:szCs w:val="24"/>
        </w:rPr>
        <w:t>,</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 xml:space="preserve">no colmó la solicitud de información por parte del </w:t>
      </w:r>
      <w:r w:rsidRPr="00CE55B7">
        <w:rPr>
          <w:rFonts w:ascii="Palatino Linotype" w:hAnsi="Palatino Linotype" w:cs="Arial"/>
          <w:sz w:val="24"/>
          <w:szCs w:val="24"/>
        </w:rPr>
        <w:lastRenderedPageBreak/>
        <w:t>solicitante, por lo que se</w:t>
      </w:r>
      <w:r w:rsidRPr="00CE55B7">
        <w:rPr>
          <w:rFonts w:ascii="Palatino Linotype" w:hAnsi="Palatino Linotype" w:cs="Arial"/>
          <w:b/>
          <w:sz w:val="24"/>
          <w:szCs w:val="24"/>
        </w:rPr>
        <w:t xml:space="preserve"> ORDENA</w:t>
      </w:r>
      <w:r w:rsidR="00860A8A" w:rsidRPr="00860A8A">
        <w:rPr>
          <w:rFonts w:ascii="Palatino Linotype" w:hAnsi="Palatino Linotype" w:cs="Arial"/>
          <w:b/>
          <w:sz w:val="24"/>
          <w:szCs w:val="24"/>
        </w:rPr>
        <w:t xml:space="preserve"> </w:t>
      </w:r>
      <w:r w:rsidR="00860A8A">
        <w:rPr>
          <w:rFonts w:ascii="Palatino Linotype" w:hAnsi="Palatino Linotype" w:cs="Arial"/>
          <w:b/>
          <w:sz w:val="24"/>
          <w:szCs w:val="24"/>
        </w:rPr>
        <w:t>a</w:t>
      </w:r>
      <w:r w:rsidR="00FA571E">
        <w:rPr>
          <w:rFonts w:ascii="Palatino Linotype" w:hAnsi="Palatino Linotype" w:cs="Arial"/>
          <w:b/>
          <w:sz w:val="24"/>
          <w:szCs w:val="24"/>
        </w:rPr>
        <w:t xml:space="preserve"> </w:t>
      </w:r>
      <w:r w:rsidR="00860A8A">
        <w:rPr>
          <w:rFonts w:ascii="Palatino Linotype" w:hAnsi="Palatino Linotype" w:cs="Arial"/>
          <w:b/>
          <w:sz w:val="24"/>
          <w:szCs w:val="24"/>
        </w:rPr>
        <w:t>l</w:t>
      </w:r>
      <w:r w:rsidR="00FA571E">
        <w:rPr>
          <w:rFonts w:ascii="Palatino Linotype" w:hAnsi="Palatino Linotype" w:cs="Arial"/>
          <w:b/>
          <w:sz w:val="24"/>
          <w:szCs w:val="24"/>
        </w:rPr>
        <w:t>a</w:t>
      </w:r>
      <w:r w:rsidR="00FA571E" w:rsidRPr="00FA571E">
        <w:rPr>
          <w:rFonts w:ascii="Palatino Linotype" w:hAnsi="Palatino Linotype" w:cs="Arial"/>
          <w:b/>
          <w:sz w:val="24"/>
          <w:szCs w:val="24"/>
        </w:rPr>
        <w:t xml:space="preserve"> </w:t>
      </w:r>
      <w:r w:rsidR="00FA571E" w:rsidRPr="005365E8">
        <w:rPr>
          <w:rFonts w:ascii="Palatino Linotype" w:hAnsi="Palatino Linotype" w:cs="Arial"/>
          <w:b/>
          <w:sz w:val="24"/>
          <w:szCs w:val="24"/>
        </w:rPr>
        <w:t>Secretaría del Medio Ambiente</w:t>
      </w:r>
      <w:r w:rsidR="00FB227F" w:rsidRPr="009F02EB">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FA571E" w:rsidRPr="00FA571E" w:rsidRDefault="00FA571E" w:rsidP="00FA571E">
      <w:pPr>
        <w:numPr>
          <w:ilvl w:val="0"/>
          <w:numId w:val="40"/>
        </w:numPr>
        <w:tabs>
          <w:tab w:val="left" w:pos="709"/>
        </w:tabs>
        <w:spacing w:before="240" w:after="0" w:line="360" w:lineRule="auto"/>
        <w:ind w:right="51"/>
        <w:jc w:val="both"/>
        <w:rPr>
          <w:rFonts w:ascii="Palatino Linotype" w:eastAsia="Times New Roman" w:hAnsi="Palatino Linotype" w:cs="Arial"/>
          <w:sz w:val="24"/>
          <w:szCs w:val="24"/>
          <w:lang w:val="es-ES" w:eastAsia="es-ES"/>
        </w:rPr>
      </w:pPr>
      <w:r w:rsidRPr="00FA571E">
        <w:rPr>
          <w:rFonts w:ascii="Palatino Linotype" w:eastAsia="Times New Roman" w:hAnsi="Palatino Linotype" w:cs="Arial"/>
          <w:sz w:val="24"/>
          <w:szCs w:val="24"/>
          <w:lang w:val="es-ES" w:eastAsia="es-ES"/>
        </w:rPr>
        <w:t>El o los documentos en donde consten los estudios técnicos justificativos para la emisión de las declaratorias como áreas naturales protegidas, así como la fecha de emisión de las zonas: Cerro el Ídolo, Cerro Piedra Herrada, Cerro Gordo, Cerro Sacamecate, Pinal de Marquezado, Ixtapa del Oro.</w:t>
      </w:r>
    </w:p>
    <w:p w:rsidR="00FA571E" w:rsidRPr="00FA571E" w:rsidRDefault="00FA571E" w:rsidP="00FA571E">
      <w:pPr>
        <w:autoSpaceDE w:val="0"/>
        <w:autoSpaceDN w:val="0"/>
        <w:adjustRightInd w:val="0"/>
        <w:spacing w:before="240" w:line="360" w:lineRule="auto"/>
        <w:jc w:val="both"/>
        <w:rPr>
          <w:rFonts w:ascii="Palatino Linotype" w:hAnsi="Palatino Linotype" w:cs="Arial"/>
          <w:b/>
          <w:sz w:val="24"/>
          <w:szCs w:val="28"/>
        </w:rPr>
      </w:pPr>
    </w:p>
    <w:p w:rsidR="00FA571E" w:rsidRPr="00FA571E" w:rsidRDefault="00FA571E" w:rsidP="00FA571E">
      <w:pPr>
        <w:autoSpaceDE w:val="0"/>
        <w:autoSpaceDN w:val="0"/>
        <w:adjustRightInd w:val="0"/>
        <w:spacing w:before="240" w:line="360" w:lineRule="auto"/>
        <w:jc w:val="both"/>
        <w:rPr>
          <w:rFonts w:ascii="Palatino Linotype" w:hAnsi="Palatino Linotype" w:cs="Arial"/>
          <w:sz w:val="24"/>
          <w:szCs w:val="28"/>
        </w:rPr>
      </w:pPr>
      <w:r w:rsidRPr="00FA571E">
        <w:rPr>
          <w:rFonts w:ascii="Palatino Linotype" w:hAnsi="Palatino Linotype" w:cs="Arial"/>
          <w:sz w:val="24"/>
          <w:szCs w:val="28"/>
        </w:rPr>
        <w:t>En el caso de que la información de la que se ordena la entrega en el punto 1 que antecede no se haya generado, bastará con que así lo manifieste al momento de dar cumplimiento a la presente resolución.</w:t>
      </w: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1A5DCA" w:rsidRPr="00720807"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en </w:t>
      </w:r>
      <w:r w:rsidR="00FA571E">
        <w:rPr>
          <w:rFonts w:ascii="Palatino Linotype" w:eastAsia="Times New Roman" w:hAnsi="Palatino Linotype" w:cs="Arial"/>
          <w:sz w:val="24"/>
        </w:rPr>
        <w:t>el numeral No. 1</w:t>
      </w:r>
      <w:r w:rsidR="00856D24">
        <w:rPr>
          <w:rFonts w:ascii="Palatino Linotype" w:eastAsia="Times New Roman" w:hAnsi="Palatino Linotype" w:cs="Arial"/>
          <w:sz w:val="24"/>
        </w:rPr>
        <w:t>)</w:t>
      </w:r>
      <w:r w:rsidR="00871B60">
        <w:rPr>
          <w:rFonts w:ascii="Palatino Linotype" w:eastAsia="Times New Roman" w:hAnsi="Palatino Linotype" w:cs="Arial"/>
          <w:sz w:val="24"/>
        </w:rPr>
        <w:t>:</w:t>
      </w:r>
    </w:p>
    <w:p w:rsidR="00FA571E" w:rsidRDefault="00FA571E" w:rsidP="00720807">
      <w:pPr>
        <w:pStyle w:val="Prrafodelista"/>
        <w:spacing w:before="240" w:after="240" w:line="360" w:lineRule="auto"/>
        <w:ind w:left="0" w:right="49"/>
        <w:jc w:val="both"/>
        <w:rPr>
          <w:rFonts w:ascii="Palatino Linotype" w:eastAsia="Times New Roman" w:hAnsi="Palatino Linotype" w:cs="Arial"/>
          <w:sz w:val="24"/>
        </w:rPr>
      </w:pPr>
    </w:p>
    <w:p w:rsidR="00856D24" w:rsidRDefault="00FA571E" w:rsidP="00720807">
      <w:pPr>
        <w:pStyle w:val="Prrafodelista"/>
        <w:spacing w:before="240" w:after="240" w:line="360" w:lineRule="auto"/>
        <w:ind w:left="0" w:right="49"/>
        <w:jc w:val="both"/>
        <w:rPr>
          <w:rFonts w:ascii="Palatino Linotype" w:eastAsia="Times New Roman" w:hAnsi="Palatino Linotype" w:cs="Arial"/>
          <w:sz w:val="24"/>
        </w:rPr>
      </w:pPr>
      <w:r w:rsidRPr="00FA571E">
        <w:rPr>
          <w:rFonts w:ascii="Palatino Linotype" w:eastAsia="Times New Roman" w:hAnsi="Palatino Linotype" w:cs="Arial"/>
          <w:sz w:val="24"/>
        </w:rPr>
        <w:t>En el caso de que la información de la que se ordena la entrega en el punto 1 que antecede no se haya generado, bastará con que así lo manifieste al momento de dar cumplimiento a la presente resolución.</w:t>
      </w:r>
    </w:p>
    <w:p w:rsidR="00720807" w:rsidRPr="00B259AE" w:rsidRDefault="00720807"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34150"/>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34151"/>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B1407" w:rsidRPr="00C1625B" w:rsidRDefault="00483418" w:rsidP="009B1407">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9B1407" w:rsidRPr="009B1407" w:rsidRDefault="009B1407" w:rsidP="009B1407"/>
    <w:p w:rsidR="00E6179D" w:rsidRPr="0083488C" w:rsidRDefault="00CD53CB" w:rsidP="00CD53CB">
      <w:pPr>
        <w:pStyle w:val="Ttulo1"/>
        <w:rPr>
          <w:rFonts w:eastAsia="Calibri"/>
          <w:szCs w:val="24"/>
        </w:rPr>
      </w:pPr>
      <w:bookmarkStart w:id="6" w:name="_Toc2634152"/>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20B" w:rsidRDefault="00AE620B" w:rsidP="00E82D3D">
      <w:pPr>
        <w:spacing w:after="0" w:line="240" w:lineRule="auto"/>
      </w:pPr>
      <w:r>
        <w:separator/>
      </w:r>
    </w:p>
  </w:endnote>
  <w:endnote w:type="continuationSeparator" w:id="0">
    <w:p w:rsidR="00AE620B" w:rsidRDefault="00AE620B"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95D8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95D8A">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20B" w:rsidRDefault="00AE620B" w:rsidP="00E82D3D">
      <w:pPr>
        <w:spacing w:after="0" w:line="240" w:lineRule="auto"/>
      </w:pPr>
      <w:r>
        <w:separator/>
      </w:r>
    </w:p>
  </w:footnote>
  <w:footnote w:type="continuationSeparator" w:id="0">
    <w:p w:rsidR="00AE620B" w:rsidRDefault="00AE620B"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E620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E620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E620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5"/>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10"/>
  </w:num>
  <w:num w:numId="13">
    <w:abstractNumId w:val="38"/>
  </w:num>
  <w:num w:numId="14">
    <w:abstractNumId w:val="37"/>
  </w:num>
  <w:num w:numId="15">
    <w:abstractNumId w:val="4"/>
  </w:num>
  <w:num w:numId="16">
    <w:abstractNumId w:val="17"/>
  </w:num>
  <w:num w:numId="17">
    <w:abstractNumId w:val="9"/>
  </w:num>
  <w:num w:numId="18">
    <w:abstractNumId w:val="13"/>
  </w:num>
  <w:num w:numId="19">
    <w:abstractNumId w:val="25"/>
  </w:num>
  <w:num w:numId="20">
    <w:abstractNumId w:val="8"/>
  </w:num>
  <w:num w:numId="21">
    <w:abstractNumId w:val="16"/>
  </w:num>
  <w:num w:numId="22">
    <w:abstractNumId w:val="34"/>
  </w:num>
  <w:num w:numId="23">
    <w:abstractNumId w:val="24"/>
  </w:num>
  <w:num w:numId="24">
    <w:abstractNumId w:val="6"/>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4"/>
  </w:num>
  <w:num w:numId="32">
    <w:abstractNumId w:val="0"/>
  </w:num>
  <w:num w:numId="33">
    <w:abstractNumId w:val="7"/>
  </w:num>
  <w:num w:numId="34">
    <w:abstractNumId w:val="15"/>
  </w:num>
  <w:num w:numId="35">
    <w:abstractNumId w:val="20"/>
  </w:num>
  <w:num w:numId="36">
    <w:abstractNumId w:val="19"/>
  </w:num>
  <w:num w:numId="37">
    <w:abstractNumId w:val="12"/>
  </w:num>
  <w:num w:numId="38">
    <w:abstractNumId w:val="30"/>
  </w:num>
  <w:num w:numId="39">
    <w:abstractNumId w:val="11"/>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5A78"/>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E620B"/>
    <w:rsid w:val="00AF1B72"/>
    <w:rsid w:val="00B07ADB"/>
    <w:rsid w:val="00B16CE1"/>
    <w:rsid w:val="00B2190C"/>
    <w:rsid w:val="00B21F85"/>
    <w:rsid w:val="00B259AE"/>
    <w:rsid w:val="00B2759C"/>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625B"/>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95D8A"/>
    <w:rsid w:val="00FA571E"/>
    <w:rsid w:val="00FA6405"/>
    <w:rsid w:val="00FA79CE"/>
    <w:rsid w:val="00FB227F"/>
    <w:rsid w:val="00FB274F"/>
    <w:rsid w:val="00FC4706"/>
    <w:rsid w:val="00FC605B"/>
    <w:rsid w:val="00FD0F02"/>
    <w:rsid w:val="00FD1FAD"/>
    <w:rsid w:val="00FE1030"/>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9091A-66E1-4889-AB89-B87C48B5E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5642</Words>
  <Characters>31031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2019-03-05T18:22:00Z</cp:lastPrinted>
  <dcterms:created xsi:type="dcterms:W3CDTF">2019-03-13T23:31:00Z</dcterms:created>
  <dcterms:modified xsi:type="dcterms:W3CDTF">2019-03-13T23:31:00Z</dcterms:modified>
</cp:coreProperties>
</file>